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92"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件</w:t>
      </w:r>
    </w:p>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宋体" w:hAnsi="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宋体" w:hAnsi="宋体" w:eastAsia="方正小标宋简体" w:cs="方正小标宋简体"/>
          <w:sz w:val="44"/>
          <w:szCs w:val="44"/>
          <w:lang w:val="en-US" w:eastAsia="zh-CN"/>
        </w:rPr>
      </w:pPr>
      <w:bookmarkStart w:id="0" w:name="_GoBack"/>
      <w:r>
        <w:rPr>
          <w:rFonts w:hint="eastAsia" w:ascii="宋体" w:hAnsi="宋体" w:eastAsia="方正小标宋简体" w:cs="方正小标宋简体"/>
          <w:sz w:val="44"/>
          <w:szCs w:val="44"/>
          <w:lang w:val="en-US" w:eastAsia="zh-CN"/>
        </w:rPr>
        <w:t>沈阳采油厂季度QHSE 奖励实施方案</w:t>
      </w:r>
    </w:p>
    <w:bookmarkEnd w:id="0"/>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宋体" w:hAnsi="宋体" w:eastAsia="方正小标宋简体" w:cs="方正小标宋简体"/>
          <w:sz w:val="44"/>
          <w:szCs w:val="44"/>
          <w:lang w:val="en-US" w:eastAsia="zh-CN"/>
        </w:rPr>
      </w:pPr>
    </w:p>
    <w:p>
      <w:pPr>
        <w:autoSpaceDE w:val="0"/>
        <w:adjustRightInd w:val="0"/>
        <w:snapToGrid w:val="0"/>
        <w:spacing w:line="560" w:lineRule="atLeast"/>
        <w:ind w:firstLine="640" w:firstLineChars="200"/>
        <w:rPr>
          <w:rFonts w:hint="default" w:ascii="方正仿宋_GB2312" w:hAnsi="宋体" w:eastAsia="方正仿宋_GB2312"/>
          <w:sz w:val="32"/>
          <w:szCs w:val="32"/>
          <w:lang w:val="en-US" w:eastAsia="zh-CN"/>
        </w:rPr>
      </w:pPr>
      <w:r>
        <w:rPr>
          <w:rFonts w:hint="default" w:ascii="方正仿宋_GB2312" w:hAnsi="宋体" w:eastAsia="方正仿宋_GB2312"/>
          <w:sz w:val="32"/>
          <w:szCs w:val="32"/>
          <w:lang w:val="en-US" w:eastAsia="zh-CN"/>
        </w:rPr>
        <w:t>为进一步贯彻落实国家关于事故隐患内部报告奖励和油田公司高效安全管理模式总体设计要求，充分发挥</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奖励的正面导向和激励作用，提升全员主动参与</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管理改进、提升、创新的积极性，切实推动采油厂</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质效持续提升，制订本方案。</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eastAsia" w:ascii="宋体" w:hAnsi="宋体" w:eastAsia="黑体" w:cs="黑体"/>
          <w:sz w:val="32"/>
          <w:szCs w:val="32"/>
          <w:lang w:val="en-US" w:eastAsia="zh-CN"/>
        </w:rPr>
        <w:t xml:space="preserve"> </w:t>
      </w:r>
      <w:r>
        <w:rPr>
          <w:rFonts w:hint="default" w:ascii="宋体" w:hAnsi="宋体" w:eastAsia="黑体" w:cs="黑体"/>
          <w:sz w:val="32"/>
          <w:szCs w:val="32"/>
          <w:lang w:val="en-US" w:eastAsia="zh-CN"/>
        </w:rPr>
        <w:t>一、总体原则</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坚持“突出贡献、精准奖励、公开透明”原则，对在</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管理、现场风险防控和安全隐患报告等方面作出价值贡献的集体和个人予以奖励。</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eastAsia" w:ascii="宋体" w:hAnsi="宋体" w:eastAsia="黑体" w:cs="黑体"/>
          <w:sz w:val="32"/>
          <w:szCs w:val="32"/>
          <w:lang w:val="en-US" w:eastAsia="zh-CN"/>
        </w:rPr>
        <w:t xml:space="preserve"> </w:t>
      </w:r>
      <w:r>
        <w:rPr>
          <w:rFonts w:hint="default" w:ascii="宋体" w:hAnsi="宋体" w:eastAsia="黑体" w:cs="黑体"/>
          <w:sz w:val="32"/>
          <w:szCs w:val="32"/>
          <w:lang w:val="en-US" w:eastAsia="zh-CN"/>
        </w:rPr>
        <w:t>二、评审小组</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组</w:t>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长：孟小东</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副组长：曹晓东</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 xml:space="preserve">组 </w:t>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员：采油厂QHSE委员会办公室相关人员</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eastAsia" w:ascii="宋体" w:hAnsi="宋体" w:eastAsia="黑体" w:cs="黑体"/>
          <w:sz w:val="32"/>
          <w:szCs w:val="32"/>
          <w:lang w:val="en-US" w:eastAsia="zh-CN"/>
        </w:rPr>
        <w:t xml:space="preserve"> </w:t>
      </w:r>
      <w:r>
        <w:rPr>
          <w:rFonts w:hint="default" w:ascii="宋体" w:hAnsi="宋体" w:eastAsia="黑体" w:cs="黑体"/>
          <w:sz w:val="32"/>
          <w:szCs w:val="32"/>
          <w:lang w:val="en-US" w:eastAsia="zh-CN"/>
        </w:rPr>
        <w:t>三、奖励标准</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（一）违章叫停奖励。主要对牢固树立“人的风险是第一风险”理念，在生产现场敢于唱黑脸，敢于纠正和制止人的“三违”行为的人员</w:t>
      </w:r>
      <w:r>
        <w:rPr>
          <w:rFonts w:hint="eastAsia" w:ascii="方正仿宋_GB2312" w:hAnsi="宋体" w:eastAsia="方正仿宋_GB2312"/>
          <w:sz w:val="32"/>
          <w:szCs w:val="32"/>
          <w:lang w:val="en-US" w:eastAsia="zh-CN"/>
        </w:rPr>
        <w:t>给予</w:t>
      </w:r>
      <w:r>
        <w:rPr>
          <w:rFonts w:hint="default" w:ascii="方正仿宋_GB2312" w:hAnsi="宋体" w:eastAsia="方正仿宋_GB2312"/>
          <w:sz w:val="32"/>
          <w:szCs w:val="32"/>
          <w:lang w:val="en-US" w:eastAsia="zh-CN"/>
        </w:rPr>
        <w:t>奖励。依据违章行为后果奖励 100-1000 元/人次。</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（二）隐患报告奖励。主要对及时排查发现并主动报告事故隐患的人员给予奖励。依据事故隐患可能导致的后果严重程度奖励 100-3000 元/人次。</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（三）优秀管理奖励。主要对</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管理实践经验得到推广应用或围绕</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管理效能提升提出合理化建议并被采纳的集体、个人给予奖励。依据经验成果推广的层级范围以及提升</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效能的程度奖励 1000-3000 元/项。</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（四）免检班站奖励。主要对持续开展免检班站创建并且巩固、提升、示范效果明显的基层班站给予奖励。依据“免检班站”创建标准，每季度对取得较好成效果的基层班站奖励 1000-3000元。获得年度“免检班站”的，按照油田公司标准进行奖励。</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（五）突出业绩奖励。对季度</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过程考核结果为优秀的单位奖励 5000-10000 元；对QHSE管理、风险防控、应急抢险等工作中主动参与、任劳任怨、业绩突出；对健康干预、体重管理效果突出个人予以奖励；对攻坚克难完成</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重点难点工作的个人给予奖励。依据工作成效及参与程度奖励 500-3000 元/人次。</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宋体" w:hAnsi="宋体" w:eastAsia="黑体" w:cs="黑体"/>
          <w:sz w:val="32"/>
          <w:szCs w:val="32"/>
          <w:lang w:val="en-US" w:eastAsia="zh-CN"/>
        </w:rPr>
        <w:t>四、奖励申报流程</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1.违章叫停及隐患报告奖励申报：由各单位、部门定期收集，每月 20 日前报至评审小组审核。其中隐患报告奖励等级参考《辽河油田公司重大、较大及一般隐患判定标准汇编》。</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2.“免检班站”创建奖励申报：由创建班站所在科级单位每季度最后一个月向“免检班站”工作专班提出验收申请，评为优秀的给予奖励。</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3.优秀管理实践及突出业绩奖励申报：由各单位、部门在每季度最后一个月 20 日前，将管理案例及个人业绩表现相关图文材料报送至质量健康安全环保部汇总，由评审小组进行评审。</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宋体" w:hAnsi="宋体" w:eastAsia="黑体" w:cs="黑体"/>
          <w:sz w:val="32"/>
          <w:szCs w:val="32"/>
          <w:lang w:val="en-US" w:eastAsia="zh-CN"/>
        </w:rPr>
        <w:t>五、工作要求</w:t>
      </w:r>
    </w:p>
    <w:p>
      <w:pPr>
        <w:autoSpaceDE w:val="0"/>
        <w:adjustRightInd w:val="0"/>
        <w:snapToGrid w:val="0"/>
        <w:spacing w:line="560" w:lineRule="atLeast"/>
        <w:ind w:firstLine="640" w:firstLineChars="200"/>
        <w:rPr>
          <w:rFonts w:hint="default" w:ascii="方正仿宋_GB2312" w:hAnsi="宋体" w:eastAsia="方正仿宋_GB2312"/>
          <w:sz w:val="32"/>
          <w:szCs w:val="32"/>
          <w:lang w:val="en-US" w:eastAsia="zh-CN"/>
        </w:rPr>
      </w:pPr>
      <w:r>
        <w:rPr>
          <w:rFonts w:hint="default" w:ascii="方正仿宋_GB2312" w:hAnsi="宋体" w:eastAsia="方正仿宋_GB2312"/>
          <w:sz w:val="32"/>
          <w:szCs w:val="32"/>
          <w:lang w:val="en-US" w:eastAsia="zh-CN"/>
        </w:rPr>
        <w:t>1.各单位、部门要高度重视</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奖励机制应用，正确发挥奖励机制的激励促动作用。切实将</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奖励机制作为“提高管理水平、推进行为养成、固化本质安全”的有效抓手。</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2.各单位、部门要聚焦“人的风险是第一风险”要素，发动全员积极主动参与违章叫停、隐患报告等</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相关工作，营造“人人参与、奖惩分明”的良好氛围。</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3.各单位、部门要遵循实事求是，按照“一级负责一级”的原则对</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奖励申报内容真实性负责。对故意捏造事实骗取奖励的，取消个人或集体该年度奖励申报资格。</w:t>
      </w:r>
      <w:r>
        <w:rPr>
          <w:rFonts w:hint="default" w:ascii="方正仿宋_GB2312" w:hAnsi="宋体" w:eastAsia="方正仿宋_GB2312"/>
          <w:sz w:val="32"/>
          <w:szCs w:val="32"/>
          <w:lang w:val="en-US" w:eastAsia="zh-CN"/>
        </w:rPr>
        <w:br w:type="textWrapping"/>
      </w:r>
      <w:r>
        <w:rPr>
          <w:rFonts w:hint="eastAsia" w:ascii="方正仿宋_GB2312" w:hAnsi="宋体" w:eastAsia="方正仿宋_GB2312"/>
          <w:sz w:val="32"/>
          <w:szCs w:val="32"/>
          <w:lang w:val="en-US" w:eastAsia="zh-CN"/>
        </w:rPr>
        <w:t xml:space="preserve">    </w:t>
      </w:r>
      <w:r>
        <w:rPr>
          <w:rFonts w:hint="default" w:ascii="方正仿宋_GB2312" w:hAnsi="宋体" w:eastAsia="方正仿宋_GB2312"/>
          <w:sz w:val="32"/>
          <w:szCs w:val="32"/>
          <w:lang w:val="en-US" w:eastAsia="zh-CN"/>
        </w:rPr>
        <w:t>4.采油厂</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委员会办公室严格执行</w:t>
      </w:r>
      <w:r>
        <w:rPr>
          <w:rFonts w:hint="eastAsia" w:ascii="方正仿宋_GB2312" w:hAnsi="宋体" w:eastAsia="方正仿宋_GB2312"/>
          <w:sz w:val="32"/>
          <w:szCs w:val="32"/>
          <w:lang w:val="en-US" w:eastAsia="zh-CN"/>
        </w:rPr>
        <w:t>QHSE</w:t>
      </w:r>
      <w:r>
        <w:rPr>
          <w:rFonts w:hint="default" w:ascii="方正仿宋_GB2312" w:hAnsi="宋体" w:eastAsia="方正仿宋_GB2312"/>
          <w:sz w:val="32"/>
          <w:szCs w:val="32"/>
          <w:lang w:val="en-US" w:eastAsia="zh-CN"/>
        </w:rPr>
        <w:t>奖励评审程序，每季度将奖励结果进行发布公示，接受全过程监督，确保奖励机制公平公正、落地见效。</w:t>
      </w:r>
      <w:r>
        <w:rPr>
          <w:rFonts w:hint="default" w:ascii="方正仿宋_GB2312" w:hAnsi="宋体" w:eastAsia="方正仿宋_GB2312"/>
          <w:sz w:val="32"/>
          <w:szCs w:val="32"/>
          <w:lang w:val="en-US" w:eastAsia="zh-CN"/>
        </w:rPr>
        <w:br w:type="textWrapping"/>
      </w:r>
    </w:p>
    <w:p>
      <w:pPr>
        <w:autoSpaceDE w:val="0"/>
        <w:adjustRightInd w:val="0"/>
        <w:snapToGrid w:val="0"/>
        <w:spacing w:line="560" w:lineRule="atLeast"/>
        <w:ind w:firstLine="640" w:firstLineChars="200"/>
        <w:rPr>
          <w:rFonts w:hint="eastAsia" w:ascii="方正仿宋_GB2312" w:hAnsi="宋体" w:eastAsia="方正仿宋_GB2312"/>
          <w:sz w:val="32"/>
          <w:szCs w:val="32"/>
          <w:lang w:val="en-US" w:eastAsia="zh-CN"/>
        </w:rPr>
      </w:pPr>
    </w:p>
    <w:p>
      <w:pPr>
        <w:autoSpaceDE w:val="0"/>
        <w:adjustRightInd w:val="0"/>
        <w:snapToGrid w:val="0"/>
        <w:spacing w:line="560" w:lineRule="atLeast"/>
        <w:ind w:firstLine="640" w:firstLineChars="200"/>
        <w:rPr>
          <w:rFonts w:hint="eastAsia" w:ascii="方正仿宋_GB2312" w:hAnsi="宋体" w:eastAsia="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D4"/>
    <w:rsid w:val="00032622"/>
    <w:rsid w:val="000F7979"/>
    <w:rsid w:val="002046F6"/>
    <w:rsid w:val="002116A1"/>
    <w:rsid w:val="00262BD4"/>
    <w:rsid w:val="00285A37"/>
    <w:rsid w:val="0045461C"/>
    <w:rsid w:val="006715E3"/>
    <w:rsid w:val="006D6FC3"/>
    <w:rsid w:val="007909B1"/>
    <w:rsid w:val="007F3478"/>
    <w:rsid w:val="00B1423C"/>
    <w:rsid w:val="00DF007D"/>
    <w:rsid w:val="00EB1886"/>
    <w:rsid w:val="00ED0733"/>
    <w:rsid w:val="00F60ADD"/>
    <w:rsid w:val="101D6057"/>
    <w:rsid w:val="16307DB8"/>
    <w:rsid w:val="2BD9EFD4"/>
    <w:rsid w:val="2F5D0802"/>
    <w:rsid w:val="38657504"/>
    <w:rsid w:val="4134711C"/>
    <w:rsid w:val="48D82FB1"/>
    <w:rsid w:val="49FC3E14"/>
    <w:rsid w:val="55157DB1"/>
    <w:rsid w:val="66DB2D40"/>
    <w:rsid w:val="6ACD7B4B"/>
    <w:rsid w:val="73483CAF"/>
    <w:rsid w:val="791C0987"/>
    <w:rsid w:val="AEBDFF70"/>
    <w:rsid w:val="BF7BB424"/>
    <w:rsid w:val="DFFFD3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kern w:val="2"/>
      <w:sz w:val="18"/>
      <w:szCs w:val="18"/>
    </w:rPr>
  </w:style>
  <w:style w:type="character" w:customStyle="1" w:styleId="7">
    <w:name w:val="页脚 Char"/>
    <w:basedOn w:val="5"/>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3431</Words>
  <Characters>3597</Characters>
  <Lines>11</Lines>
  <Paragraphs>3</Paragraphs>
  <TotalTime>2</TotalTime>
  <ScaleCrop>false</ScaleCrop>
  <LinksUpToDate>false</LinksUpToDate>
  <CharactersWithSpaces>3698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2026-03-21T10:38:00Z</dcterms:created>
  <dc:creator>a</dc:creator>
  <cp:lastModifiedBy>user</cp:lastModifiedBy>
  <dcterms:modified xsi:type="dcterms:W3CDTF">2026-03-31T15:34:01Z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97AB0D4724425C2F52DEBC691AF9EEF2</vt:lpwstr>
  </property>
  <property fmtid="{D5CDD505-2E9C-101B-9397-08002B2CF9AE}" pid="4" name="KSOTemplateDocerSaveRecord">
    <vt:lpwstr>eyJoZGlkIjoiMWIyMDg4N2Y5MzQyOWY1YzdhMzcyN2EzMTYwMDZlMTYiLCJ1c2VySWQiOiIzODY5MTgzNDgifQ==</vt:lpwstr>
  </property>
</Properties>
</file>