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Hlk8574187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沈应急发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宋体" w:hAnsi="宋体" w:eastAsia="宋体" w:cs="宋体"/>
          <w:b/>
          <w:bCs w:val="0"/>
          <w:color w:val="000000"/>
          <w:spacing w:val="11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11"/>
          <w:sz w:val="44"/>
          <w:szCs w:val="44"/>
          <w:lang w:eastAsia="zh-CN"/>
        </w:rPr>
        <w:t>沈阳市应急管理局</w:t>
      </w:r>
      <w:r>
        <w:rPr>
          <w:rFonts w:hint="eastAsia" w:ascii="宋体" w:hAnsi="宋体" w:eastAsia="宋体" w:cs="宋体"/>
          <w:b/>
          <w:bCs w:val="0"/>
          <w:color w:val="000000"/>
          <w:spacing w:val="11"/>
          <w:sz w:val="44"/>
          <w:szCs w:val="44"/>
        </w:rPr>
        <w:t>关于深入开</w:t>
      </w:r>
      <w:r>
        <w:rPr>
          <w:rFonts w:hint="eastAsia" w:ascii="宋体" w:hAnsi="宋体" w:eastAsia="宋体" w:cs="宋体"/>
          <w:b/>
          <w:bCs w:val="0"/>
          <w:color w:val="000000"/>
          <w:spacing w:val="11"/>
          <w:sz w:val="44"/>
          <w:szCs w:val="44"/>
          <w:lang w:val="en-US" w:eastAsia="zh-CN"/>
        </w:rPr>
        <w:t>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宋体" w:hAnsi="宋体" w:eastAsia="宋体" w:cs="宋体"/>
          <w:b/>
          <w:bCs w:val="0"/>
          <w:color w:val="000000"/>
          <w:spacing w:val="11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11"/>
          <w:sz w:val="44"/>
          <w:szCs w:val="44"/>
          <w:lang w:val="en-US" w:eastAsia="zh-CN"/>
        </w:rPr>
        <w:t>精细化工企业“四个清零”整治任务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宋体" w:hAnsi="宋体" w:eastAsia="宋体" w:cs="宋体"/>
          <w:b/>
          <w:bCs w:val="0"/>
          <w:color w:val="000000"/>
          <w:spacing w:val="11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11"/>
          <w:sz w:val="44"/>
          <w:szCs w:val="44"/>
          <w:lang w:val="en-US" w:eastAsia="zh-CN"/>
        </w:rPr>
        <w:t>“回头看”工作的通</w:t>
      </w:r>
      <w:r>
        <w:rPr>
          <w:rFonts w:hint="eastAsia" w:ascii="宋体" w:hAnsi="宋体" w:eastAsia="宋体" w:cs="宋体"/>
          <w:b/>
          <w:bCs w:val="0"/>
          <w:color w:val="000000"/>
          <w:spacing w:val="11"/>
          <w:sz w:val="44"/>
          <w:szCs w:val="44"/>
        </w:rPr>
        <w:t>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各</w:t>
      </w:r>
      <w:r>
        <w:rPr>
          <w:rFonts w:hint="eastAsia" w:ascii="Times New Roman" w:hAnsi="宋体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区、县（市）及经济技术开发区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应急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highlight w:val="none"/>
          <w:lang w:eastAsia="zh-CN"/>
        </w:rPr>
        <w:t>管理局，各有关单位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highlight w:val="none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/>
        <w:jc w:val="both"/>
        <w:rPr>
          <w:rFonts w:hint="eastAsia" w:ascii="仿宋_GB2312" w:hAnsi="仿宋_GB2312" w:eastAsia="仿宋_GB2312" w:cs="仿宋_GB2312"/>
          <w:color w:val="00000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lang w:eastAsia="zh-CN"/>
        </w:rPr>
        <w:t>为认真贯彻落实</w:t>
      </w:r>
      <w:r>
        <w:rPr>
          <w:rFonts w:hint="eastAsia" w:ascii="仿宋_GB2312" w:hAnsi="仿宋_GB2312" w:cs="仿宋_GB2312"/>
          <w:color w:val="000000"/>
          <w:lang w:eastAsia="zh-CN"/>
        </w:rPr>
        <w:t>沈阳市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安委会</w:t>
      </w:r>
      <w:r>
        <w:rPr>
          <w:rFonts w:hint="eastAsia" w:ascii="仿宋_GB2312" w:hAnsi="仿宋_GB2312" w:cs="仿宋_GB2312"/>
          <w:color w:val="000000"/>
          <w:lang w:eastAsia="zh-CN"/>
        </w:rPr>
        <w:t>《全市危险化学品安全风险集中治理实施方案》的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要求，进一步提高</w:t>
      </w:r>
      <w:r>
        <w:rPr>
          <w:rFonts w:hint="eastAsia" w:ascii="仿宋_GB2312" w:hAnsi="仿宋_GB2312" w:cs="仿宋_GB2312"/>
          <w:color w:val="000000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精细化工企业安全风险防控水平，</w:t>
      </w:r>
      <w:r>
        <w:rPr>
          <w:rFonts w:hint="eastAsia" w:ascii="仿宋_GB2312" w:hAnsi="仿宋_GB2312" w:cs="仿宋_GB2312"/>
          <w:color w:val="000000"/>
          <w:lang w:eastAsia="zh-CN"/>
        </w:rPr>
        <w:t>市应急管理局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决定开展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000000"/>
          <w:sz w:val="32"/>
          <w:szCs w:val="32"/>
        </w:rPr>
        <w:t>精细化工企业“四个清零”整治任务落实情况“回头看”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工作，现将有关事项通知如下：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一、前期工作情况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2021年，各地区应急管理部门，各有关单位认真推进精细化工企业按时完成反应风险评估、自控改造、重点人员学历资质达标和人员密集场所搬迁改造工作。4家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硝化、氯化等五种危险工艺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精细化工企业完成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反应安全风险评估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上下游配套装置自控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系统改造；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26家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涉及“两重点一重大”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企业完善了可燃有毒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气体报警、紧急切断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自控系统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；全市组织开办化工安全人才研修班，35名基层监管人员及16名危险化学品企业相关人员参与培训；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不符合要求的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处控制室、办公室、休息室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等人员密集场所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完成搬迁改造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开展精细化工企业“四个清零”整改措施落实情况“回头看”，坚持以提升自动化水平、减少危险作业场所人员数量为主攻方向，推动实施全流程自动化改造。提高整治工作质量，重点治理反应安全风险评估措施不落实、自动化改造不彻底、自动化控制系统不运行、人员资质不达标等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eastAsia="zh-CN"/>
        </w:rPr>
        <w:t>三、重点工作任务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1.反应安全风险评估“清零”。重点核查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五种危险工艺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的精细化工装置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未进行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全流程反应安全风险评估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，以及未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根据评估结果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补充完善安全管控措施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按照专项整治三年行动方案要求，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2022年底前未落实有关评估建议的精细化工生产装置一律停产整顿。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2.自动化控制装备改造“清零”。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重点核查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涉及危险化工工艺的生产装置全流程自动化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改造不彻底、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五种危险工艺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的上下游配套装置自动化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改造不彻底、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自动化控制系统不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运行、气体报警和紧急切断不符合标准要求以及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eastAsia="zh-CN"/>
        </w:rPr>
        <w:t>现场作业人数过多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等情况。涉及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五种危险工艺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反应工艺危险度在2级以上的生产车间（区域），同一时间现场操作人员应控制在3人以下。涉及易燃易爆、毒性气体、毒性粉尘、爆炸性粉尘作业现场或厂房最大人数（含交接班时）不得超过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3.从业人员学历资质不达标“清零”。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重点核查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企业主要负责人和主管生产、设备、技术、安全的负责人及安全生产管理人员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学历资质不达标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，涉及重大危险源、重点监管化工工艺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爆炸性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危化品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生产储存装置操作人员学历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资质不达标，以及新录用人员和转岗人员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学历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资质未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达到相应要求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等情况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highlight w:val="none"/>
          <w:lang w:eastAsia="zh-CN"/>
        </w:rPr>
        <w:t>全面落实《危险化学品企业重点人员安全资质达标导则（试行）》，未达到要求的各地区要督促相关企业人员及时提升学历资质。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4.人员密集场所搬迁改造“清零”。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重点核查企业控制室、</w:t>
      </w:r>
      <w:r>
        <w:rPr>
          <w:rStyle w:val="9"/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 w:bidi="ar"/>
        </w:rPr>
        <w:t>交接班室、办公室、休息室、外操室、巡检室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等人员密集场所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搬迁改造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不彻底、安全距离不足、重新投用、抗爆设计和加固不符合要求等情况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/>
        <w:jc w:val="both"/>
        <w:rPr>
          <w:rFonts w:ascii="Times New Roman" w:hAnsi="Times New Roman" w:eastAsia="黑体"/>
          <w:bCs/>
          <w:color w:val="000000"/>
          <w:szCs w:val="32"/>
          <w:highlight w:val="none"/>
        </w:rPr>
      </w:pPr>
      <w:r>
        <w:rPr>
          <w:rFonts w:hint="eastAsia" w:ascii="Times New Roman" w:hAnsi="宋体" w:eastAsia="黑体"/>
          <w:bCs/>
          <w:color w:val="000000"/>
          <w:szCs w:val="32"/>
          <w:highlight w:val="none"/>
          <w:lang w:eastAsia="zh-CN"/>
        </w:rPr>
        <w:t>四</w:t>
      </w:r>
      <w:r>
        <w:rPr>
          <w:rFonts w:ascii="Times New Roman" w:hAnsi="宋体" w:eastAsia="黑体"/>
          <w:bCs/>
          <w:color w:val="000000"/>
          <w:szCs w:val="32"/>
          <w:highlight w:val="none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从202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至1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月，分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个阶段进行。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企业自查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2月至5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rPr>
          <w:rFonts w:ascii="Times New Roman" w:hAnsi="宋体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宋体" w:eastAsia="仿宋_GB2312" w:cs="Times New Roman"/>
          <w:bCs/>
          <w:color w:val="000000"/>
          <w:sz w:val="32"/>
          <w:szCs w:val="32"/>
          <w:highlight w:val="none"/>
          <w:lang w:eastAsia="zh-CN"/>
        </w:rPr>
        <w:t>各地区应急管理部门要摸底本地区精细化工企业</w:t>
      </w:r>
      <w:r>
        <w:rPr>
          <w:rFonts w:hint="eastAsia" w:ascii="Times New Roman" w:hAnsi="宋体" w:eastAsia="仿宋_GB2312" w:cs="Times New Roman"/>
          <w:bCs/>
          <w:color w:val="000000"/>
          <w:sz w:val="32"/>
          <w:szCs w:val="32"/>
          <w:lang w:eastAsia="zh-CN"/>
        </w:rPr>
        <w:t>整治任务“四个清零”完成情况，核实有无遗漏和新增企业（含试生产企业），组织企业按照要求进行全面的自检自查，建立隐患问题和整改措施清单，持续进行整改</w:t>
      </w:r>
      <w:r>
        <w:rPr>
          <w:rFonts w:ascii="Times New Roman" w:hAnsi="宋体" w:eastAsia="仿宋_GB2312" w:cs="Times New Roman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区县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核查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（2022年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月至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rPr>
          <w:rFonts w:ascii="Times New Roman" w:hAnsi="Times New Roman" w:eastAsia="仿宋_GB2312" w:cs="Times New Roman"/>
          <w:bCs/>
          <w:i w:val="0"/>
          <w:iCs w:val="0"/>
          <w:color w:val="000000"/>
          <w:sz w:val="32"/>
          <w:szCs w:val="32"/>
        </w:rPr>
      </w:pPr>
      <w:r>
        <w:rPr>
          <w:rFonts w:hint="eastAsia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  <w:t>各地区应急管理部门</w:t>
      </w:r>
      <w:r>
        <w:rPr>
          <w:rFonts w:ascii="Times New Roman" w:hAnsi="宋体" w:eastAsia="仿宋_GB2312" w:cs="Times New Roman"/>
          <w:bCs/>
          <w:i w:val="0"/>
          <w:iCs w:val="0"/>
          <w:color w:val="000000"/>
          <w:sz w:val="32"/>
          <w:szCs w:val="32"/>
        </w:rPr>
        <w:t>组织专家对精细化工企业</w:t>
      </w:r>
      <w:r>
        <w:rPr>
          <w:rFonts w:ascii="Times New Roman" w:hAnsi="Times New Roman" w:eastAsia="仿宋_GB2312" w:cs="Times New Roman"/>
          <w:bCs/>
          <w:i w:val="0"/>
          <w:iCs w:val="0"/>
          <w:color w:val="000000"/>
          <w:sz w:val="32"/>
          <w:szCs w:val="32"/>
        </w:rPr>
        <w:t>“</w:t>
      </w:r>
      <w:r>
        <w:rPr>
          <w:rFonts w:ascii="Times New Roman" w:hAnsi="宋体" w:eastAsia="仿宋_GB2312" w:cs="Times New Roman"/>
          <w:bCs/>
          <w:i w:val="0"/>
          <w:iCs w:val="0"/>
          <w:color w:val="000000"/>
          <w:sz w:val="32"/>
          <w:szCs w:val="32"/>
        </w:rPr>
        <w:t>四个清零</w:t>
      </w:r>
      <w:r>
        <w:rPr>
          <w:rFonts w:ascii="Times New Roman" w:hAnsi="Times New Roman" w:eastAsia="仿宋_GB2312" w:cs="Times New Roman"/>
          <w:bCs/>
          <w:i w:val="0"/>
          <w:iCs w:val="0"/>
          <w:color w:val="000000"/>
          <w:sz w:val="32"/>
          <w:szCs w:val="32"/>
        </w:rPr>
        <w:t>”</w:t>
      </w:r>
      <w:r>
        <w:rPr>
          <w:rFonts w:ascii="Times New Roman" w:hAnsi="宋体" w:eastAsia="仿宋_GB2312" w:cs="Times New Roman"/>
          <w:bCs/>
          <w:i w:val="0"/>
          <w:iCs w:val="0"/>
          <w:color w:val="000000"/>
          <w:sz w:val="32"/>
          <w:szCs w:val="32"/>
        </w:rPr>
        <w:t>整治任务落实情况开展</w:t>
      </w:r>
      <w:r>
        <w:rPr>
          <w:rFonts w:ascii="Times New Roman" w:hAnsi="Times New Roman" w:eastAsia="仿宋_GB2312" w:cs="Times New Roman"/>
          <w:bCs/>
          <w:i w:val="0"/>
          <w:iCs w:val="0"/>
          <w:color w:val="000000"/>
          <w:sz w:val="32"/>
          <w:szCs w:val="32"/>
        </w:rPr>
        <w:t>“</w:t>
      </w:r>
      <w:r>
        <w:rPr>
          <w:rFonts w:ascii="Times New Roman" w:hAnsi="宋体" w:eastAsia="仿宋_GB2312" w:cs="Times New Roman"/>
          <w:bCs/>
          <w:i w:val="0"/>
          <w:iCs w:val="0"/>
          <w:color w:val="000000"/>
          <w:sz w:val="32"/>
          <w:szCs w:val="32"/>
        </w:rPr>
        <w:t>回头看</w:t>
      </w:r>
      <w:r>
        <w:rPr>
          <w:rFonts w:ascii="Times New Roman" w:hAnsi="Times New Roman" w:eastAsia="仿宋_GB2312" w:cs="Times New Roman"/>
          <w:bCs/>
          <w:i w:val="0"/>
          <w:iCs w:val="0"/>
          <w:color w:val="000000"/>
          <w:sz w:val="32"/>
          <w:szCs w:val="32"/>
        </w:rPr>
        <w:t>”</w:t>
      </w:r>
      <w:r>
        <w:rPr>
          <w:rFonts w:hint="eastAsia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  <w:t>。涉及五种危险工艺的</w:t>
      </w:r>
      <w:r>
        <w:rPr>
          <w:rFonts w:hint="eastAsia" w:ascii="Times New Roman" w:hAnsi="宋体" w:eastAsia="仿宋_GB2312" w:cs="Times New Roman"/>
          <w:bCs/>
          <w:i w:val="0"/>
          <w:iCs w:val="0"/>
          <w:snapToGrid w:val="0"/>
          <w:color w:val="000000"/>
          <w:kern w:val="0"/>
          <w:sz w:val="32"/>
          <w:szCs w:val="32"/>
          <w:lang w:eastAsia="zh-CN"/>
        </w:rPr>
        <w:t>要完成</w:t>
      </w:r>
      <w:r>
        <w:rPr>
          <w:rFonts w:ascii="Times New Roman" w:hAnsi="宋体" w:eastAsia="仿宋_GB2312" w:cs="Times New Roman"/>
          <w:bCs/>
          <w:i w:val="0"/>
          <w:iCs w:val="0"/>
          <w:snapToGrid w:val="0"/>
          <w:color w:val="000000"/>
          <w:kern w:val="0"/>
          <w:sz w:val="32"/>
          <w:szCs w:val="32"/>
        </w:rPr>
        <w:t>全流程反应安全风险评估</w:t>
      </w:r>
      <w:r>
        <w:rPr>
          <w:rFonts w:hint="eastAsia" w:ascii="Times New Roman" w:hAnsi="宋体" w:eastAsia="仿宋_GB2312" w:cs="Times New Roman"/>
          <w:bCs/>
          <w:i w:val="0"/>
          <w:iCs w:val="0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宋体" w:eastAsia="仿宋_GB2312" w:cs="Times New Roman"/>
          <w:bCs/>
          <w:i w:val="0"/>
          <w:iCs w:val="0"/>
          <w:snapToGrid w:val="0"/>
          <w:color w:val="000000"/>
          <w:kern w:val="0"/>
          <w:sz w:val="32"/>
          <w:szCs w:val="32"/>
        </w:rPr>
        <w:t>上下游配套装置</w:t>
      </w:r>
      <w:r>
        <w:rPr>
          <w:rFonts w:hint="eastAsia" w:ascii="Times New Roman" w:hAnsi="宋体" w:eastAsia="仿宋_GB2312" w:cs="Times New Roman"/>
          <w:bCs/>
          <w:i w:val="0"/>
          <w:iCs w:val="0"/>
          <w:snapToGrid w:val="0"/>
          <w:color w:val="000000"/>
          <w:kern w:val="0"/>
          <w:sz w:val="32"/>
          <w:szCs w:val="32"/>
          <w:lang w:eastAsia="zh-CN"/>
        </w:rPr>
        <w:t>要</w:t>
      </w:r>
      <w:r>
        <w:rPr>
          <w:rFonts w:ascii="Times New Roman" w:hAnsi="宋体" w:eastAsia="仿宋_GB2312" w:cs="Times New Roman"/>
          <w:bCs/>
          <w:i w:val="0"/>
          <w:iCs w:val="0"/>
          <w:snapToGrid w:val="0"/>
          <w:color w:val="000000"/>
          <w:kern w:val="0"/>
          <w:sz w:val="32"/>
          <w:szCs w:val="32"/>
        </w:rPr>
        <w:t>实现</w:t>
      </w:r>
      <w:r>
        <w:rPr>
          <w:rFonts w:hint="eastAsia" w:ascii="Times New Roman" w:hAnsi="宋体" w:eastAsia="仿宋_GB2312" w:cs="Times New Roman"/>
          <w:bCs/>
          <w:i w:val="0"/>
          <w:iCs w:val="0"/>
          <w:snapToGrid w:val="0"/>
          <w:color w:val="000000"/>
          <w:kern w:val="0"/>
          <w:sz w:val="32"/>
          <w:szCs w:val="32"/>
          <w:lang w:eastAsia="zh-CN"/>
        </w:rPr>
        <w:t>全流程</w:t>
      </w:r>
      <w:r>
        <w:rPr>
          <w:rFonts w:ascii="Times New Roman" w:hAnsi="宋体" w:eastAsia="仿宋_GB2312" w:cs="Times New Roman"/>
          <w:bCs/>
          <w:i w:val="0"/>
          <w:iCs w:val="0"/>
          <w:snapToGrid w:val="0"/>
          <w:color w:val="000000"/>
          <w:kern w:val="0"/>
          <w:sz w:val="32"/>
          <w:szCs w:val="32"/>
        </w:rPr>
        <w:t>自动化控制，</w:t>
      </w:r>
      <w:r>
        <w:rPr>
          <w:rFonts w:hint="eastAsia" w:ascii="Times New Roman" w:hAnsi="宋体" w:eastAsia="仿宋_GB2312" w:cs="Times New Roman"/>
          <w:bCs/>
          <w:i w:val="0"/>
          <w:iCs w:val="0"/>
          <w:snapToGrid w:val="0"/>
          <w:color w:val="000000"/>
          <w:kern w:val="0"/>
          <w:sz w:val="32"/>
          <w:szCs w:val="32"/>
          <w:lang w:eastAsia="zh-CN"/>
        </w:rPr>
        <w:t>重点岗位人员学历资质要全部达标，不符合要求的人员密集场所要彻底搬迁改造</w:t>
      </w:r>
      <w:r>
        <w:rPr>
          <w:rFonts w:ascii="Times New Roman" w:hAnsi="宋体" w:eastAsia="仿宋_GB2312" w:cs="Times New Roman"/>
          <w:bCs/>
          <w:i w:val="0"/>
          <w:i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市级督导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（2022年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Times New Roman" w:hAnsi="宋体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宋体" w:eastAsia="仿宋_GB2312" w:cs="Times New Roman"/>
          <w:bCs/>
          <w:color w:val="000000"/>
          <w:sz w:val="32"/>
          <w:szCs w:val="32"/>
          <w:lang w:eastAsia="zh-CN"/>
        </w:rPr>
        <w:t>市应急管理局将</w:t>
      </w:r>
      <w:r>
        <w:rPr>
          <w:rFonts w:ascii="Times New Roman" w:hAnsi="宋体" w:eastAsia="仿宋_GB2312" w:cs="Times New Roman"/>
          <w:bCs/>
          <w:color w:val="000000"/>
          <w:sz w:val="32"/>
          <w:szCs w:val="32"/>
        </w:rPr>
        <w:t>组织</w:t>
      </w:r>
      <w:r>
        <w:rPr>
          <w:rFonts w:hint="eastAsia" w:ascii="Times New Roman" w:hAnsi="宋体" w:eastAsia="仿宋_GB2312" w:cs="Times New Roman"/>
          <w:bCs/>
          <w:color w:val="000000"/>
          <w:sz w:val="32"/>
          <w:szCs w:val="32"/>
          <w:lang w:eastAsia="zh-CN"/>
        </w:rPr>
        <w:t>专家</w:t>
      </w:r>
      <w:r>
        <w:rPr>
          <w:rFonts w:ascii="Times New Roman" w:hAnsi="宋体" w:eastAsia="仿宋_GB2312" w:cs="Times New Roman"/>
          <w:bCs/>
          <w:color w:val="000000"/>
          <w:sz w:val="32"/>
          <w:szCs w:val="32"/>
        </w:rPr>
        <w:t>对</w:t>
      </w:r>
      <w:r>
        <w:rPr>
          <w:rFonts w:hint="eastAsia" w:ascii="Times New Roman" w:hAnsi="宋体" w:eastAsia="仿宋_GB2312" w:cs="Times New Roman"/>
          <w:bCs/>
          <w:color w:val="000000"/>
          <w:sz w:val="32"/>
          <w:szCs w:val="32"/>
          <w:lang w:eastAsia="zh-CN"/>
        </w:rPr>
        <w:t>各地区</w:t>
      </w:r>
      <w:r>
        <w:rPr>
          <w:rFonts w:ascii="Times New Roman" w:hAnsi="宋体" w:eastAsia="仿宋_GB2312" w:cs="Times New Roman"/>
          <w:bCs/>
          <w:color w:val="000000"/>
          <w:sz w:val="32"/>
          <w:szCs w:val="32"/>
        </w:rPr>
        <w:t>精细化工企业整治任务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“</w:t>
      </w:r>
      <w:r>
        <w:rPr>
          <w:rFonts w:ascii="Times New Roman" w:hAnsi="宋体" w:eastAsia="仿宋_GB2312" w:cs="Times New Roman"/>
          <w:bCs/>
          <w:color w:val="000000"/>
          <w:sz w:val="32"/>
          <w:szCs w:val="32"/>
        </w:rPr>
        <w:t>四个清零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和区县组织“回头看”情况</w:t>
      </w:r>
      <w:r>
        <w:rPr>
          <w:rFonts w:ascii="Times New Roman" w:hAnsi="宋体" w:eastAsia="仿宋_GB2312" w:cs="Times New Roman"/>
          <w:bCs/>
          <w:color w:val="000000"/>
          <w:sz w:val="32"/>
          <w:szCs w:val="32"/>
        </w:rPr>
        <w:t>进行</w:t>
      </w:r>
      <w:r>
        <w:rPr>
          <w:rFonts w:hint="eastAsia" w:ascii="Times New Roman" w:hAnsi="宋体" w:eastAsia="仿宋_GB2312" w:cs="Times New Roman"/>
          <w:bCs/>
          <w:color w:val="000000"/>
          <w:sz w:val="32"/>
          <w:szCs w:val="32"/>
          <w:lang w:eastAsia="zh-CN"/>
        </w:rPr>
        <w:t>督导</w:t>
      </w:r>
      <w:r>
        <w:rPr>
          <w:rFonts w:ascii="Times New Roman" w:hAnsi="宋体" w:eastAsia="仿宋_GB2312" w:cs="Times New Roman"/>
          <w:bCs/>
          <w:color w:val="000000"/>
          <w:sz w:val="32"/>
          <w:szCs w:val="32"/>
        </w:rPr>
        <w:t>抽查。</w:t>
      </w:r>
      <w:r>
        <w:rPr>
          <w:rFonts w:ascii="Times New Roman" w:hAnsi="宋体" w:eastAsia="仿宋_GB2312" w:cs="Times New Roman"/>
          <w:bCs/>
          <w:i w:val="0"/>
          <w:iCs w:val="0"/>
          <w:color w:val="000000"/>
          <w:sz w:val="32"/>
          <w:szCs w:val="32"/>
        </w:rPr>
        <w:t>对未按期完成、</w:t>
      </w:r>
      <w:r>
        <w:rPr>
          <w:rFonts w:hint="eastAsia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  <w:t>弄虚作假、走过场、</w:t>
      </w:r>
      <w:r>
        <w:rPr>
          <w:rFonts w:ascii="Times New Roman" w:hAnsi="宋体" w:eastAsia="仿宋_GB2312" w:cs="Times New Roman"/>
          <w:bCs/>
          <w:i w:val="0"/>
          <w:iCs w:val="0"/>
          <w:color w:val="000000"/>
          <w:sz w:val="32"/>
          <w:szCs w:val="32"/>
        </w:rPr>
        <w:t>达不到安全生产条件的</w:t>
      </w:r>
      <w:r>
        <w:rPr>
          <w:rFonts w:hint="eastAsia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  <w:t>企业</w:t>
      </w:r>
      <w:r>
        <w:rPr>
          <w:rFonts w:ascii="Times New Roman" w:hAnsi="宋体" w:eastAsia="仿宋_GB2312" w:cs="Times New Roman"/>
          <w:bCs/>
          <w:i w:val="0"/>
          <w:iCs w:val="0"/>
          <w:color w:val="000000"/>
          <w:sz w:val="32"/>
          <w:szCs w:val="32"/>
        </w:rPr>
        <w:t>依法严肃查处</w:t>
      </w:r>
      <w:r>
        <w:rPr>
          <w:rFonts w:hint="eastAsia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  <w:t>，并进行全市通报。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lang w:eastAsia="zh-CN"/>
        </w:rPr>
        <w:t>（四）整治提升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（2022年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月至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  <w:t>各精细化工企业根据自检自查以及市级督导检查发现问题隐患，及时组织整改，落实安全防范措施，深入总结分析原因，举一反三，全面排查整治类似问题和隐患，不断提升企业本质安全水平。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（五）抽查验收（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2022年11月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  <w:t>各地区应急管理部门对前期市级督查抽查企业发现的隐患问题，逐家逐项进行复查确认整改完成情况，强化隐患整治闭环管理。对整改不到位、存在重大事故隐患的企业，依法严格处罚。各地</w:t>
      </w:r>
      <w:r>
        <w:rPr>
          <w:rFonts w:hint="default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  <w:t>建立</w:t>
      </w:r>
      <w:r>
        <w:rPr>
          <w:rFonts w:hint="eastAsia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  <w:t>精细化工</w:t>
      </w:r>
      <w:r>
        <w:rPr>
          <w:rFonts w:hint="default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  <w:t>企业</w:t>
      </w:r>
      <w:r>
        <w:rPr>
          <w:rFonts w:hint="eastAsia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  <w:t>分级</w:t>
      </w:r>
      <w:r>
        <w:rPr>
          <w:rFonts w:hint="default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  <w:t>监管机制，</w:t>
      </w:r>
      <w:r>
        <w:rPr>
          <w:rFonts w:hint="eastAsia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  <w:t>加强监督检查，不断提高精准化监管水平</w:t>
      </w:r>
      <w:r>
        <w:rPr>
          <w:rFonts w:hint="default" w:ascii="Times New Roman" w:hAnsi="宋体" w:eastAsia="仿宋_GB2312" w:cs="Times New Roman"/>
          <w:bCs/>
          <w:i w:val="0"/>
          <w:iCs w:val="0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/>
        <w:jc w:val="both"/>
        <w:textAlignment w:val="auto"/>
        <w:outlineLvl w:val="9"/>
        <w:rPr>
          <w:rFonts w:ascii="Times New Roman" w:hAnsi="Times New Roman" w:eastAsia="黑体"/>
          <w:bCs/>
          <w:color w:val="000000"/>
          <w:szCs w:val="32"/>
        </w:rPr>
      </w:pPr>
      <w:r>
        <w:rPr>
          <w:rFonts w:hint="eastAsia" w:ascii="Times New Roman" w:hAnsi="宋体" w:eastAsia="黑体"/>
          <w:bCs/>
          <w:color w:val="000000"/>
          <w:szCs w:val="32"/>
          <w:lang w:eastAsia="zh-CN"/>
        </w:rPr>
        <w:t>五</w:t>
      </w:r>
      <w:r>
        <w:rPr>
          <w:rFonts w:ascii="Times New Roman" w:hAnsi="宋体" w:eastAsia="黑体"/>
          <w:bCs/>
          <w:color w:val="000000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（一）加强组织领导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 w:bidi="ar"/>
        </w:rPr>
        <w:t>各地区应急管理局，各有关单位要高度重视，充分认识“四个清零”对提高精细化工企业安全生产水平的重要作用，进一步压实工作责任。要在前期工作基础上，按照《全市危险化学品安全风险集中治理实施方案》要求，结合2022年危险化学品安全监管重点工作，统筹推进，扎实做好安全风险防范化解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（二）提高整改质量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 w:bidi="ar"/>
        </w:rPr>
        <w:t>“回头看”过程中，各地要严而又严、细而又细，确保取得实效，严防企业整改蒙混过关、安全设施改而不用。对长期停产企业，复工前必须满足“四个清零”要求。对新设立企业，要源头把关，确保人员资质达标、装置本质安全，严防新企业出现老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）强化督导调度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 w:bidi="ar"/>
        </w:rPr>
        <w:t>各地区应急管理局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调度汇总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进展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情况，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列出工作清单，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采取有针对性的措施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。要加强日常监管，严格安全许可，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推进重点任务尽快销号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应急管理局将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跟踪督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“回头看”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工作，定期通报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工作进展，推动</w:t>
      </w:r>
      <w:r>
        <w:rPr>
          <w:rStyle w:val="9"/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 w:bidi="ar"/>
        </w:rPr>
        <w:t>安全风险集中治理各项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任务落实落细。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沈阳市应急管理局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月2日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1" w:name="_GoBack"/>
      <w:bookmarkEnd w:id="1"/>
    </w:p>
    <w:p>
      <w:pPr>
        <w:pStyle w:val="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</w:rPr>
        <w:pict>
          <v:line id="_x0000_s2050" o:spid="_x0000_s2050" o:spt="20" style="position:absolute;left:0pt;margin-left:0.8pt;margin-top:36.85pt;height:0.05pt;width:436.2pt;z-index:25165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8"/>
        </w:rPr>
        <w:pict>
          <v:line id="_x0000_s2051" o:spid="_x0000_s2051" o:spt="20" style="position:absolute;left:0pt;margin-left:0.2pt;margin-top:4.45pt;height:0.05pt;width:436.2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沈阳市应急管理局办公室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2022年3月2日印发</w:t>
      </w:r>
    </w:p>
    <w:sectPr>
      <w:footerReference r:id="rId3" w:type="default"/>
      <w:pgSz w:w="11906" w:h="16838"/>
      <w:pgMar w:top="1440" w:right="1588" w:bottom="1440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Arial Unicode MS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Text Box 2" o:spid="_x0000_s4097" o:spt="202" type="#_x0000_t202" style="position:absolute;left:0pt;margin-top:-11.35pt;height:25.15pt;width:78.6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4"/>
                  <w:ind w:firstLine="280" w:firstLineChars="100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16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59.197.224.47:80/seeyon/officeservlet"/>
  </w:docVars>
  <w:rsids>
    <w:rsidRoot w:val="000A0B94"/>
    <w:rsid w:val="000A0B94"/>
    <w:rsid w:val="000F4F5B"/>
    <w:rsid w:val="00160640"/>
    <w:rsid w:val="001D76F9"/>
    <w:rsid w:val="00222FBD"/>
    <w:rsid w:val="00292DF5"/>
    <w:rsid w:val="002B7504"/>
    <w:rsid w:val="003601CB"/>
    <w:rsid w:val="003C6F77"/>
    <w:rsid w:val="00516AA6"/>
    <w:rsid w:val="005413F9"/>
    <w:rsid w:val="00586B5E"/>
    <w:rsid w:val="007601BA"/>
    <w:rsid w:val="007676F6"/>
    <w:rsid w:val="00770A8E"/>
    <w:rsid w:val="00864207"/>
    <w:rsid w:val="008B46ED"/>
    <w:rsid w:val="009D05B7"/>
    <w:rsid w:val="00A009EC"/>
    <w:rsid w:val="00B27194"/>
    <w:rsid w:val="00E22952"/>
    <w:rsid w:val="00F15F2F"/>
    <w:rsid w:val="00F47EAD"/>
    <w:rsid w:val="0CD16E35"/>
    <w:rsid w:val="0E893A97"/>
    <w:rsid w:val="1D23790C"/>
    <w:rsid w:val="23654461"/>
    <w:rsid w:val="25827CE3"/>
    <w:rsid w:val="5E327590"/>
    <w:rsid w:val="659D3C99"/>
    <w:rsid w:val="7FEFE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line="560" w:lineRule="exact"/>
      <w:ind w:firstLine="643"/>
      <w:jc w:val="both"/>
      <w:textAlignment w:val="baseline"/>
    </w:pPr>
    <w:rPr>
      <w:rFonts w:ascii="楷体_GB2312" w:hAnsi="仿宋_GB2312" w:eastAsia="楷体_GB2312"/>
      <w:kern w:val="2"/>
      <w:sz w:val="32"/>
      <w:szCs w:val="32"/>
      <w:lang w:val="zh-CN" w:eastAsia="zh-CN" w:bidi="ar-SA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rFonts w:ascii="Calibri" w:hAnsi="Calibri" w:eastAsia="仿宋_GB2312" w:cs="Times New Roman"/>
      <w:snapToGrid w:val="0"/>
      <w:kern w:val="0"/>
      <w:sz w:val="32"/>
      <w:szCs w:val="24"/>
    </w:rPr>
  </w:style>
  <w:style w:type="character" w:customStyle="1" w:styleId="9">
    <w:name w:val="16"/>
    <w:basedOn w:val="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2021-10-28T14:19:00Z</dcterms:created>
  <dc:creator>L</dc:creator>
  <cp:lastModifiedBy>刘美春</cp:lastModifiedBy>
  <cp:lastPrinted>2022-03-07T08:15:46Z</cp:lastPrinted>
  <dcterms:modified xsi:type="dcterms:W3CDTF">2022-03-07T08:17:07Z</dcterms:modified>
  <dc:title>关于深入开展精细化工企业“四个清零”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13D7B13F89314A8DB7EFBF34E2D45D15</vt:lpwstr>
  </property>
</Properties>
</file>